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5785" w:rsidRPr="00C20565" w:rsidRDefault="005B5B4E" w:rsidP="00615785">
      <w:pPr>
        <w:ind w:right="27"/>
        <w:jc w:val="center"/>
        <w:rPr>
          <w:rFonts w:asciiTheme="majorHAnsi" w:hAnsiTheme="majorHAnsi" w:cs="Times New Roman"/>
          <w:b/>
          <w:sz w:val="20"/>
          <w:szCs w:val="20"/>
          <w:lang w:val="tr-TR"/>
        </w:rPr>
      </w:pPr>
      <w:r w:rsidRPr="005B5B4E">
        <w:rPr>
          <w:rFonts w:asciiTheme="majorHAnsi" w:hAnsiTheme="majorHAnsi" w:cs="Times New Roman"/>
          <w:b/>
          <w:sz w:val="20"/>
          <w:szCs w:val="20"/>
          <w:lang w:val="tr-TR"/>
        </w:rPr>
        <w:t>BİOTREND ÇEVRE VE ENERJİ YATIRIMLARI</w:t>
      </w:r>
      <w:r>
        <w:rPr>
          <w:rFonts w:asciiTheme="majorHAnsi" w:hAnsiTheme="majorHAnsi" w:cs="Times New Roman"/>
          <w:b/>
          <w:sz w:val="20"/>
          <w:szCs w:val="20"/>
          <w:lang w:val="tr-TR"/>
        </w:rPr>
        <w:t>(“BIOTREND) A.Ş.</w:t>
      </w:r>
      <w:r w:rsidR="00FC6DEC">
        <w:rPr>
          <w:rFonts w:asciiTheme="majorHAnsi" w:hAnsiTheme="majorHAnsi" w:cs="Times New Roman"/>
          <w:b/>
          <w:sz w:val="20"/>
          <w:szCs w:val="20"/>
          <w:lang w:val="tr-TR"/>
        </w:rPr>
        <w:t xml:space="preserve"> </w:t>
      </w:r>
      <w:r w:rsidR="00615785" w:rsidRPr="00C20565">
        <w:rPr>
          <w:rFonts w:asciiTheme="majorHAnsi" w:hAnsiTheme="majorHAnsi" w:cs="Times New Roman"/>
          <w:b/>
          <w:sz w:val="20"/>
          <w:szCs w:val="20"/>
          <w:lang w:val="tr-TR"/>
        </w:rPr>
        <w:t>HALKA ARZ KONSORSİYUMU</w:t>
      </w:r>
    </w:p>
    <w:p w:rsidR="00615785" w:rsidRPr="00C20565" w:rsidRDefault="00615785" w:rsidP="00615785">
      <w:pPr>
        <w:ind w:right="27"/>
        <w:jc w:val="center"/>
        <w:rPr>
          <w:rFonts w:asciiTheme="majorHAnsi" w:hAnsiTheme="majorHAnsi" w:cs="Times New Roman"/>
          <w:b/>
          <w:sz w:val="20"/>
          <w:szCs w:val="20"/>
          <w:lang w:val="tr-TR"/>
        </w:rPr>
      </w:pPr>
      <w:r w:rsidRPr="00C20565">
        <w:rPr>
          <w:rFonts w:asciiTheme="majorHAnsi" w:hAnsiTheme="majorHAnsi" w:cs="Times New Roman"/>
          <w:b/>
          <w:sz w:val="20"/>
          <w:szCs w:val="20"/>
          <w:lang w:val="tr-TR"/>
        </w:rPr>
        <w:t>KİŞİSEL VERİLERİN KORUNMASI HAKKINDA AYDINLATMA BİLDİRİMİ</w:t>
      </w:r>
    </w:p>
    <w:p w:rsidR="00615785" w:rsidRPr="006D7C9A" w:rsidRDefault="005B5B4E" w:rsidP="00615785">
      <w:pPr>
        <w:ind w:right="27"/>
        <w:jc w:val="both"/>
        <w:rPr>
          <w:rFonts w:asciiTheme="majorHAnsi" w:hAnsiTheme="majorHAnsi" w:cs="Times New Roman"/>
          <w:sz w:val="18"/>
          <w:szCs w:val="20"/>
          <w:lang w:val="tr-TR"/>
        </w:rPr>
      </w:pPr>
      <w:proofErr w:type="spellStart"/>
      <w:r>
        <w:rPr>
          <w:rFonts w:asciiTheme="majorHAnsi" w:hAnsiTheme="majorHAnsi" w:cs="Times New Roman"/>
          <w:sz w:val="18"/>
          <w:szCs w:val="20"/>
          <w:lang w:val="tr-TR"/>
        </w:rPr>
        <w:t>Biotrend</w:t>
      </w:r>
      <w:proofErr w:type="spellEnd"/>
      <w:r w:rsidR="00FC6DEC" w:rsidRPr="006D7C9A">
        <w:rPr>
          <w:rFonts w:asciiTheme="majorHAnsi" w:hAnsiTheme="majorHAnsi" w:cs="Times New Roman"/>
          <w:sz w:val="18"/>
          <w:szCs w:val="20"/>
          <w:lang w:val="tr-TR"/>
        </w:rPr>
        <w:t xml:space="preserve"> </w:t>
      </w:r>
      <w:r w:rsidR="00615785" w:rsidRPr="006D7C9A">
        <w:rPr>
          <w:rFonts w:asciiTheme="majorHAnsi" w:hAnsiTheme="majorHAnsi" w:cs="Times New Roman"/>
          <w:sz w:val="18"/>
          <w:szCs w:val="20"/>
          <w:lang w:val="tr-TR"/>
        </w:rPr>
        <w:t xml:space="preserve">Halka Arz Konsorsiyumu </w:t>
      </w:r>
      <w:r>
        <w:rPr>
          <w:rFonts w:asciiTheme="majorHAnsi" w:hAnsiTheme="majorHAnsi" w:cs="Times New Roman"/>
          <w:sz w:val="18"/>
          <w:szCs w:val="20"/>
          <w:lang w:val="tr-TR"/>
        </w:rPr>
        <w:t>(“</w:t>
      </w:r>
      <w:r w:rsidRPr="006D7C9A">
        <w:rPr>
          <w:rFonts w:asciiTheme="majorHAnsi" w:hAnsiTheme="majorHAnsi" w:cs="Times New Roman"/>
          <w:sz w:val="18"/>
          <w:szCs w:val="20"/>
          <w:lang w:val="tr-TR"/>
        </w:rPr>
        <w:t>Deniz Yatırım Menkul Kıymetler A.Ş</w:t>
      </w:r>
      <w:proofErr w:type="gramStart"/>
      <w:r w:rsidRPr="006D7C9A">
        <w:rPr>
          <w:rFonts w:asciiTheme="majorHAnsi" w:hAnsiTheme="majorHAnsi" w:cs="Times New Roman"/>
          <w:sz w:val="18"/>
          <w:szCs w:val="20"/>
          <w:lang w:val="tr-TR"/>
        </w:rPr>
        <w:t>.,</w:t>
      </w:r>
      <w:proofErr w:type="gramEnd"/>
      <w:r>
        <w:rPr>
          <w:rFonts w:asciiTheme="majorHAnsi" w:hAnsiTheme="majorHAnsi" w:cs="Times New Roman"/>
          <w:sz w:val="18"/>
          <w:szCs w:val="20"/>
          <w:lang w:val="tr-TR"/>
        </w:rPr>
        <w:t xml:space="preserve"> </w:t>
      </w:r>
      <w:r w:rsidRPr="005B5B4E">
        <w:rPr>
          <w:rFonts w:asciiTheme="majorHAnsi" w:hAnsiTheme="majorHAnsi" w:cs="Times New Roman"/>
          <w:sz w:val="18"/>
          <w:szCs w:val="20"/>
          <w:lang w:val="tr-TR"/>
        </w:rPr>
        <w:t>Türkiye Sınai</w:t>
      </w:r>
      <w:r>
        <w:rPr>
          <w:rFonts w:asciiTheme="majorHAnsi" w:hAnsiTheme="majorHAnsi" w:cs="Times New Roman"/>
          <w:sz w:val="18"/>
          <w:szCs w:val="20"/>
          <w:lang w:val="tr-TR"/>
        </w:rPr>
        <w:t xml:space="preserve"> Kalkınma Bankası A.Ş.,</w:t>
      </w:r>
      <w:r w:rsidRPr="005B5B4E">
        <w:rPr>
          <w:rFonts w:asciiTheme="majorHAnsi" w:hAnsiTheme="majorHAnsi" w:cs="Times New Roman"/>
          <w:sz w:val="18"/>
          <w:szCs w:val="20"/>
          <w:lang w:val="tr-TR"/>
        </w:rPr>
        <w:t xml:space="preserve">A1 </w:t>
      </w:r>
      <w:proofErr w:type="spellStart"/>
      <w:r w:rsidRPr="005B5B4E">
        <w:rPr>
          <w:rFonts w:asciiTheme="majorHAnsi" w:hAnsiTheme="majorHAnsi" w:cs="Times New Roman"/>
          <w:sz w:val="18"/>
          <w:szCs w:val="20"/>
          <w:lang w:val="tr-TR"/>
        </w:rPr>
        <w:t>Capital</w:t>
      </w:r>
      <w:proofErr w:type="spellEnd"/>
      <w:r w:rsidRPr="005B5B4E">
        <w:rPr>
          <w:rFonts w:asciiTheme="majorHAnsi" w:hAnsiTheme="majorHAnsi" w:cs="Times New Roman"/>
          <w:sz w:val="18"/>
          <w:szCs w:val="20"/>
          <w:lang w:val="tr-TR"/>
        </w:rPr>
        <w:t xml:space="preserve"> Yatırım Menkul Değerler A.Ş., </w:t>
      </w:r>
      <w:proofErr w:type="spellStart"/>
      <w:r w:rsidRPr="005B5B4E">
        <w:rPr>
          <w:rFonts w:asciiTheme="majorHAnsi" w:hAnsiTheme="majorHAnsi" w:cs="Times New Roman"/>
          <w:sz w:val="18"/>
          <w:szCs w:val="20"/>
          <w:lang w:val="tr-TR"/>
        </w:rPr>
        <w:t>Ahlatcı</w:t>
      </w:r>
      <w:proofErr w:type="spellEnd"/>
      <w:r w:rsidRPr="005B5B4E">
        <w:rPr>
          <w:rFonts w:asciiTheme="majorHAnsi" w:hAnsiTheme="majorHAnsi" w:cs="Times New Roman"/>
          <w:sz w:val="18"/>
          <w:szCs w:val="20"/>
          <w:lang w:val="tr-TR"/>
        </w:rPr>
        <w:t xml:space="preserve"> Yatırım Menkul Değerler A.Ş., Alan Yatırım Menkul Değerler A.Ş., </w:t>
      </w:r>
      <w:proofErr w:type="spellStart"/>
      <w:r w:rsidRPr="005B5B4E">
        <w:rPr>
          <w:rFonts w:asciiTheme="majorHAnsi" w:hAnsiTheme="majorHAnsi" w:cs="Times New Roman"/>
          <w:sz w:val="18"/>
          <w:szCs w:val="20"/>
          <w:lang w:val="tr-TR"/>
        </w:rPr>
        <w:t>Alnus</w:t>
      </w:r>
      <w:proofErr w:type="spellEnd"/>
      <w:r w:rsidRPr="005B5B4E">
        <w:rPr>
          <w:rFonts w:asciiTheme="majorHAnsi" w:hAnsiTheme="majorHAnsi" w:cs="Times New Roman"/>
          <w:sz w:val="18"/>
          <w:szCs w:val="20"/>
          <w:lang w:val="tr-TR"/>
        </w:rPr>
        <w:t xml:space="preserve"> Yatırım Menkul Değerler A.Ş., Alternatif Yatırım Menkul Değerler A.Ş., Anadolu Yatırım Menkul Kıymetler A.Ş., Ata Yatırım Menkul Kıymetler A.Ş., BGC </w:t>
      </w:r>
      <w:proofErr w:type="spellStart"/>
      <w:r w:rsidRPr="005B5B4E">
        <w:rPr>
          <w:rFonts w:asciiTheme="majorHAnsi" w:hAnsiTheme="majorHAnsi" w:cs="Times New Roman"/>
          <w:sz w:val="18"/>
          <w:szCs w:val="20"/>
          <w:lang w:val="tr-TR"/>
        </w:rPr>
        <w:t>Partners</w:t>
      </w:r>
      <w:proofErr w:type="spellEnd"/>
      <w:r w:rsidRPr="005B5B4E">
        <w:rPr>
          <w:rFonts w:asciiTheme="majorHAnsi" w:hAnsiTheme="majorHAnsi" w:cs="Times New Roman"/>
          <w:sz w:val="18"/>
          <w:szCs w:val="20"/>
          <w:lang w:val="tr-TR"/>
        </w:rPr>
        <w:t xml:space="preserve"> Menkul Değerler A.Ş., Bizim Menkul Değerler A.Ş., Dinamik Menkul Değerler A.Ş., Garanti Yatırım Menkul Kıymetler A.Ş., Gedik Yatırım Menkul Değerler A.Ş., Global Menkul Değerler A.Ş., Halk Yatırım Menkul Değerler A.Ş., ICBC </w:t>
      </w:r>
      <w:proofErr w:type="spellStart"/>
      <w:r w:rsidRPr="005B5B4E">
        <w:rPr>
          <w:rFonts w:asciiTheme="majorHAnsi" w:hAnsiTheme="majorHAnsi" w:cs="Times New Roman"/>
          <w:sz w:val="18"/>
          <w:szCs w:val="20"/>
          <w:lang w:val="tr-TR"/>
        </w:rPr>
        <w:t>Turkey</w:t>
      </w:r>
      <w:proofErr w:type="spellEnd"/>
      <w:r w:rsidRPr="005B5B4E">
        <w:rPr>
          <w:rFonts w:asciiTheme="majorHAnsi" w:hAnsiTheme="majorHAnsi" w:cs="Times New Roman"/>
          <w:sz w:val="18"/>
          <w:szCs w:val="20"/>
          <w:lang w:val="tr-TR"/>
        </w:rPr>
        <w:t xml:space="preserve"> Yatırım Menkul Değerler A.Ş., </w:t>
      </w:r>
      <w:proofErr w:type="spellStart"/>
      <w:r w:rsidRPr="005B5B4E">
        <w:rPr>
          <w:rFonts w:asciiTheme="majorHAnsi" w:hAnsiTheme="majorHAnsi" w:cs="Times New Roman"/>
          <w:sz w:val="18"/>
          <w:szCs w:val="20"/>
          <w:lang w:val="tr-TR"/>
        </w:rPr>
        <w:t>İnfo</w:t>
      </w:r>
      <w:proofErr w:type="spellEnd"/>
      <w:r w:rsidRPr="005B5B4E">
        <w:rPr>
          <w:rFonts w:asciiTheme="majorHAnsi" w:hAnsiTheme="majorHAnsi" w:cs="Times New Roman"/>
          <w:sz w:val="18"/>
          <w:szCs w:val="20"/>
          <w:lang w:val="tr-TR"/>
        </w:rPr>
        <w:t xml:space="preserve"> Yatırım Menkul Değerler A.Ş., ING Menkul Değerler A.Ş., İntegral Yatırım Menkul Değerler A.Ş., </w:t>
      </w:r>
      <w:proofErr w:type="spellStart"/>
      <w:r w:rsidRPr="005B5B4E">
        <w:rPr>
          <w:rFonts w:asciiTheme="majorHAnsi" w:hAnsiTheme="majorHAnsi" w:cs="Times New Roman"/>
          <w:sz w:val="18"/>
          <w:szCs w:val="20"/>
          <w:lang w:val="tr-TR"/>
        </w:rPr>
        <w:t>Investaz</w:t>
      </w:r>
      <w:proofErr w:type="spellEnd"/>
      <w:r w:rsidRPr="005B5B4E">
        <w:rPr>
          <w:rFonts w:asciiTheme="majorHAnsi" w:hAnsiTheme="majorHAnsi" w:cs="Times New Roman"/>
          <w:sz w:val="18"/>
          <w:szCs w:val="20"/>
          <w:lang w:val="tr-TR"/>
        </w:rPr>
        <w:t xml:space="preserve"> Yatırım Menkul Değerler A.Ş., </w:t>
      </w:r>
      <w:proofErr w:type="spellStart"/>
      <w:r w:rsidRPr="005B5B4E">
        <w:rPr>
          <w:rFonts w:asciiTheme="majorHAnsi" w:hAnsiTheme="majorHAnsi" w:cs="Times New Roman"/>
          <w:sz w:val="18"/>
          <w:szCs w:val="20"/>
          <w:lang w:val="tr-TR"/>
        </w:rPr>
        <w:t>Marbaş</w:t>
      </w:r>
      <w:proofErr w:type="spellEnd"/>
      <w:r w:rsidRPr="005B5B4E">
        <w:rPr>
          <w:rFonts w:asciiTheme="majorHAnsi" w:hAnsiTheme="majorHAnsi" w:cs="Times New Roman"/>
          <w:sz w:val="18"/>
          <w:szCs w:val="20"/>
          <w:lang w:val="tr-TR"/>
        </w:rPr>
        <w:t xml:space="preserve"> Menkul Değerler A.Ş., </w:t>
      </w:r>
      <w:proofErr w:type="spellStart"/>
      <w:r w:rsidRPr="005B5B4E">
        <w:rPr>
          <w:rFonts w:asciiTheme="majorHAnsi" w:hAnsiTheme="majorHAnsi" w:cs="Times New Roman"/>
          <w:sz w:val="18"/>
          <w:szCs w:val="20"/>
          <w:lang w:val="tr-TR"/>
        </w:rPr>
        <w:t>Meksa</w:t>
      </w:r>
      <w:proofErr w:type="spellEnd"/>
      <w:r w:rsidRPr="005B5B4E">
        <w:rPr>
          <w:rFonts w:asciiTheme="majorHAnsi" w:hAnsiTheme="majorHAnsi" w:cs="Times New Roman"/>
          <w:sz w:val="18"/>
          <w:szCs w:val="20"/>
          <w:lang w:val="tr-TR"/>
        </w:rPr>
        <w:t xml:space="preserve"> Yatırım Menkul Değerler A.Ş., Metro Yatırım Menkul Değerler A.Ş., Osmanlı Yatırım Menkul Değerler A.Ş., </w:t>
      </w:r>
      <w:proofErr w:type="spellStart"/>
      <w:r w:rsidRPr="005B5B4E">
        <w:rPr>
          <w:rFonts w:asciiTheme="majorHAnsi" w:hAnsiTheme="majorHAnsi" w:cs="Times New Roman"/>
          <w:sz w:val="18"/>
          <w:szCs w:val="20"/>
          <w:lang w:val="tr-TR"/>
        </w:rPr>
        <w:t>Oyak</w:t>
      </w:r>
      <w:proofErr w:type="spellEnd"/>
      <w:r w:rsidRPr="005B5B4E">
        <w:rPr>
          <w:rFonts w:asciiTheme="majorHAnsi" w:hAnsiTheme="majorHAnsi" w:cs="Times New Roman"/>
          <w:sz w:val="18"/>
          <w:szCs w:val="20"/>
          <w:lang w:val="tr-TR"/>
        </w:rPr>
        <w:t xml:space="preserve"> Yatırım Menkul Değerler A.Ş., </w:t>
      </w:r>
      <w:proofErr w:type="spellStart"/>
      <w:r w:rsidRPr="005B5B4E">
        <w:rPr>
          <w:rFonts w:asciiTheme="majorHAnsi" w:hAnsiTheme="majorHAnsi" w:cs="Times New Roman"/>
          <w:sz w:val="18"/>
          <w:szCs w:val="20"/>
          <w:lang w:val="tr-TR"/>
        </w:rPr>
        <w:t>Phillipcapital</w:t>
      </w:r>
      <w:proofErr w:type="spellEnd"/>
      <w:r w:rsidRPr="005B5B4E">
        <w:rPr>
          <w:rFonts w:asciiTheme="majorHAnsi" w:hAnsiTheme="majorHAnsi" w:cs="Times New Roman"/>
          <w:sz w:val="18"/>
          <w:szCs w:val="20"/>
          <w:lang w:val="tr-TR"/>
        </w:rPr>
        <w:t xml:space="preserve"> Menkul Değerler A.Ş., Piramit Menkul Kıymetler A.Ş., QNB Finans Yatırım Menkul Değerler A.Ş., Strateji Menkul Değerler A.Ş., Şeker Yatırım Menkul Değerler A.Ş., Tacirler Yatırım Menkul Değerler A.Ş., TEB Yatırım Menkul Değerler A.Ş., </w:t>
      </w:r>
      <w:proofErr w:type="spellStart"/>
      <w:r w:rsidRPr="005B5B4E">
        <w:rPr>
          <w:rFonts w:asciiTheme="majorHAnsi" w:hAnsiTheme="majorHAnsi" w:cs="Times New Roman"/>
          <w:sz w:val="18"/>
          <w:szCs w:val="20"/>
          <w:lang w:val="tr-TR"/>
        </w:rPr>
        <w:t>Tera</w:t>
      </w:r>
      <w:proofErr w:type="spellEnd"/>
      <w:r w:rsidRPr="005B5B4E">
        <w:rPr>
          <w:rFonts w:asciiTheme="majorHAnsi" w:hAnsiTheme="majorHAnsi" w:cs="Times New Roman"/>
          <w:sz w:val="18"/>
          <w:szCs w:val="20"/>
          <w:lang w:val="tr-TR"/>
        </w:rPr>
        <w:t xml:space="preserve"> Yatırım Menkul Değerler A.Ş., Ünlü Menkul Değerler A.Ş., Vakıf Yatırım Menkul Değerler A.Ş., Yatırım Finansman Menkul Değerler A.Ş., Ziraat Yatırım Menkul Değerler A.Ş.</w:t>
      </w:r>
      <w:r w:rsidR="00615785" w:rsidRPr="006D7C9A">
        <w:rPr>
          <w:rFonts w:asciiTheme="majorHAnsi" w:hAnsiTheme="majorHAnsi" w:cs="Times New Roman"/>
          <w:sz w:val="18"/>
          <w:szCs w:val="20"/>
          <w:lang w:val="tr-TR"/>
        </w:rPr>
        <w:t xml:space="preserve">) olarak, bizimle paylaşmış olduğunuz kişisel verilerinizin 6698 sayılı Kişisel Verilerin Korunması Kanunu’na (“KVK Kanunu”) uygun bir şekilde işlenmesi, aktarılması ve güvenliğinin sağlanması hususlarına büyük önem vermekteyiz. Bu çerçevede, aşağıda veri sorumlusu olarak </w:t>
      </w:r>
      <w:proofErr w:type="spellStart"/>
      <w:r>
        <w:rPr>
          <w:rFonts w:asciiTheme="majorHAnsi" w:hAnsiTheme="majorHAnsi" w:cs="Times New Roman"/>
          <w:sz w:val="18"/>
          <w:szCs w:val="20"/>
          <w:lang w:val="tr-TR"/>
        </w:rPr>
        <w:t>Biotrend</w:t>
      </w:r>
      <w:proofErr w:type="spellEnd"/>
      <w:r w:rsidR="00615785" w:rsidRPr="006D7C9A">
        <w:rPr>
          <w:rFonts w:asciiTheme="majorHAnsi" w:hAnsiTheme="majorHAnsi" w:cs="Times New Roman"/>
          <w:sz w:val="18"/>
          <w:szCs w:val="20"/>
          <w:lang w:val="tr-TR"/>
        </w:rPr>
        <w:t xml:space="preserve"> Halka Arz Konsorsiyumu tarafından kişisel verilerinizin hangi yöntem ve amaçlarla toplanacağı, işleneceği ve üçüncü kişilere aktarılacağı ve KVK Kanunu uyarınca veri sahibi olarak sahip olduğunuz haklar açıklanmıştır.</w:t>
      </w:r>
    </w:p>
    <w:p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1. Kişisel Verilerin İşlenme Amaçları</w:t>
      </w:r>
      <w:bookmarkStart w:id="0" w:name="_GoBack"/>
      <w:bookmarkEnd w:id="0"/>
    </w:p>
    <w:p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 xml:space="preserve">Kişisel verileriniz; yasal yükümlülüklerimizin yerine getirilmesi, Konsorsiyumuz veya ihraççı firma ve ortakları ile yapacağınız sözleşmelerin kurulması ve ifa edilmesi, Konsorsiyumuz ile ihraççı firma arasındaki sözleşmelerin ifa edilmesi, sizler için uygun ürün, hizmet ve platformların belirlenmesi, bunların size özel hale getirilmesi ve geliştirilmesi, etkin bir müşteri hizmeti sunulması </w:t>
      </w:r>
      <w:proofErr w:type="spellStart"/>
      <w:r w:rsidR="005B5B4E">
        <w:rPr>
          <w:rFonts w:asciiTheme="majorHAnsi" w:hAnsiTheme="majorHAnsi" w:cs="Times New Roman"/>
          <w:sz w:val="18"/>
          <w:szCs w:val="20"/>
          <w:lang w:val="tr-TR"/>
        </w:rPr>
        <w:t>Biotrend</w:t>
      </w:r>
      <w:proofErr w:type="spellEnd"/>
      <w:r w:rsidRPr="006D7C9A">
        <w:rPr>
          <w:rFonts w:asciiTheme="majorHAnsi" w:hAnsiTheme="majorHAnsi" w:cs="Times New Roman"/>
          <w:sz w:val="18"/>
          <w:szCs w:val="20"/>
          <w:lang w:val="tr-TR"/>
        </w:rPr>
        <w:t xml:space="preserve"> Konsorsiyum üyelerinin, internet siteleri ve diğer elektronik sistemlerinin ve fiziki ortamlarının güvenliğinin sağlanması, sözleşmeye ve kanuna aykırılıkların tespiti, önlenmesi ve yetkili makamlara bildirilmesi, hukuki uyuşmazlıkların çözümlenmesi amaçlarıyla, Konsorsiyumuz tarafından işlenebilir veya bu amaçların gerektirdiği süre boyunca muhafaza edilebilir.</w:t>
      </w:r>
    </w:p>
    <w:p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2. Kişisel Verilerin Aktarılabileceği Kişiler ve Aktarılma Amaçları</w:t>
      </w:r>
    </w:p>
    <w:p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 xml:space="preserve">Kişisel verilerinizi, KVK Kanunu’nun 4’üncü maddesinde sayılan genel ilkelere ve 8 ve 9’uncu maddelerinde öngörülen şartlara uymak ve gerekli güvenlik önlemlerini almak kaydıyla, Sermaye Piyasası Kurumu, Borsa İstanbul, Takasbank ve diğer yetkili kurum ve kuruluşlara, ihraççı firmaya ve bu firmanın ortaklarına ve çalıştığı aracı kuruluşlara, konsorsiyum ortaklarımıza ve diğer iş ortaklarımıza ve tedarikçilerimize veya alt yüklenicilerimize yukarıda (1) nolu başlık altında sayılan amaçlarla aktarabiliriz. </w:t>
      </w:r>
      <w:proofErr w:type="spellStart"/>
      <w:r w:rsidR="005B5B4E">
        <w:rPr>
          <w:rFonts w:asciiTheme="majorHAnsi" w:hAnsiTheme="majorHAnsi" w:cs="Times New Roman"/>
          <w:sz w:val="18"/>
          <w:szCs w:val="20"/>
          <w:lang w:val="tr-TR"/>
        </w:rPr>
        <w:t>Biotrend</w:t>
      </w:r>
      <w:proofErr w:type="spellEnd"/>
      <w:r w:rsidRPr="006D7C9A">
        <w:rPr>
          <w:rFonts w:asciiTheme="majorHAnsi" w:hAnsiTheme="majorHAnsi" w:cs="Times New Roman"/>
          <w:sz w:val="18"/>
          <w:szCs w:val="20"/>
          <w:lang w:val="tr-TR"/>
        </w:rPr>
        <w:t xml:space="preserve"> Konsorsiyumu olarak, kişisel verilerinizi, gerekli güvenlik önlemlerini almak kaydıyla Türkiye içinde veya dışında bulunan sunucularda veya diğer elektronik ortamlarda işleyip saklayabiliriz.</w:t>
      </w:r>
    </w:p>
    <w:p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3. Kişisel Verilerinizi Toplama Yöntemi ve Hukuki Sebebi</w:t>
      </w:r>
    </w:p>
    <w:p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 xml:space="preserve">Kişisel verilerinizi; </w:t>
      </w:r>
      <w:proofErr w:type="spellStart"/>
      <w:r w:rsidR="005B5B4E">
        <w:rPr>
          <w:rFonts w:asciiTheme="majorHAnsi" w:hAnsiTheme="majorHAnsi" w:cs="Times New Roman"/>
          <w:sz w:val="18"/>
          <w:szCs w:val="20"/>
          <w:lang w:val="tr-TR"/>
        </w:rPr>
        <w:t>Biotrend</w:t>
      </w:r>
      <w:proofErr w:type="spellEnd"/>
      <w:r w:rsidRPr="006D7C9A">
        <w:rPr>
          <w:rFonts w:asciiTheme="majorHAnsi" w:hAnsiTheme="majorHAnsi" w:cs="Times New Roman"/>
          <w:sz w:val="18"/>
          <w:szCs w:val="20"/>
          <w:lang w:val="tr-TR"/>
        </w:rPr>
        <w:t xml:space="preserve"> Konsorsiyumuna sunmuş olduğunuz talep formları veya </w:t>
      </w:r>
      <w:proofErr w:type="spellStart"/>
      <w:r w:rsidR="005B5B4E">
        <w:rPr>
          <w:rFonts w:asciiTheme="majorHAnsi" w:hAnsiTheme="majorHAnsi" w:cs="Times New Roman"/>
          <w:sz w:val="18"/>
          <w:szCs w:val="20"/>
          <w:lang w:val="tr-TR"/>
        </w:rPr>
        <w:t>Biotrend</w:t>
      </w:r>
      <w:proofErr w:type="spellEnd"/>
      <w:r w:rsidRPr="006D7C9A">
        <w:rPr>
          <w:rFonts w:asciiTheme="majorHAnsi" w:hAnsiTheme="majorHAnsi" w:cs="Times New Roman"/>
          <w:sz w:val="18"/>
          <w:szCs w:val="20"/>
          <w:lang w:val="tr-TR"/>
        </w:rPr>
        <w:t xml:space="preserve"> Konsorsiyumunun sunmuş olduğu hizmetler/ürünlerden yararlanmak veya diğer amaçlarla genel müdürlükler, şubeler, acenteler veya diğer alt yükleniciler ile iletişime geçebileceğiniz ofis ve diğer fiziki ortamlar, internet siteleri, mobil uygulamalar, ATM’ler ve benzeri elektronik işlem platformları kanalıyla yazılı, sözlü, ses veya görüntü kaydı veya diğer fiziksel veya elektronik şekillerde elde edilebiliriz. Kişisel verileriniz, Şirketimizce, KVK Kanunu’nun 4’üncü maddesinde belirtilen genel ilkeler ile 5 ve 6’ncı maddelerinde belirtilen şartlar çerçevesinde yukarıda (1) No’lu bölümünde sayılan amaçlar için toplanmakta, işlenmekte, aktarılmakta ve saklanmaktadır.</w:t>
      </w:r>
    </w:p>
    <w:p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4. Kişisel Veri Sahibi Olarak Haklarınız</w:t>
      </w:r>
    </w:p>
    <w:p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KVK Kanunu’nun 11’inci maddesi uyarınca, kişisel veri sahibi olarak; kişisel verilerinizin işlenip işlenmediğini öğrenme, kişisel verileriniz işlenmişse buna ilişkin bilgi talep etme, kişisel verilerinizin işlenme amacını ve bunların amacına uygun kullanılıp kullanılmadığını öğrenme, yurt içinde veya yurt dışında kişisel verilerinizin aktarıldığı üçüncü kişileri bilme, kişisel verilerinizin eksik veya yanlış işlenmiş olması hâlinde bunların düzeltilmesini isteme, kişisel verilerinizin işlenmelerini gerektiren sebeplerin ortadan kalkması halinde, bunların silinmesini veya yok edilmesini isteme, düzeltme ve silme işlemlerinin kişisel verilerinizin aktarıldığı üçüncü kişilere bildirilmesini isteme, işlenen verilerin münhasıran otomatik sistemler vasıtasıyla analiz edilmesi suretiyle aleyhinize olan bir sonucun ortaya çıkmasına itiraz etme, kişisel verilerinizin kanuna aykırı olarak işlenmesi sebebiyle zarara uğramanız hâlinde zararınızın giderilmesini talep etme haklarına sahipsiziniz.</w:t>
      </w:r>
    </w:p>
    <w:p w:rsidR="00615785" w:rsidRPr="006D7C9A" w:rsidRDefault="00615785" w:rsidP="00615785">
      <w:pPr>
        <w:ind w:right="27"/>
        <w:jc w:val="both"/>
        <w:rPr>
          <w:rFonts w:asciiTheme="majorHAnsi" w:hAnsiTheme="majorHAnsi" w:cs="Times New Roman"/>
          <w:sz w:val="18"/>
          <w:szCs w:val="20"/>
          <w:lang w:val="tr-TR"/>
        </w:rPr>
      </w:pPr>
      <w:r w:rsidRPr="006D7C9A">
        <w:rPr>
          <w:rFonts w:asciiTheme="majorHAnsi" w:hAnsiTheme="majorHAnsi" w:cs="Times New Roman"/>
          <w:sz w:val="18"/>
          <w:szCs w:val="20"/>
          <w:lang w:val="tr-TR"/>
        </w:rPr>
        <w:t>Yukarıda belirtilen haklarınızdan herhangi birini kullanmak istemeniz halinde, talebinizi halka arz başvurunuzu gerçekleştirdiğiniz konsorsiyum üyesine başvurmak suretiyle iletebilirsiniz. Talepleriniz kural olarak ücretsiz sonuçlandırılacak olmakla birlikte, talebinizin cevaplandırılmasının ayrıca bir maliyeti gerektirmesi hâlinde, ilgili mevzuat çerçevesinde belirlenen tutarlarda ücret talep edilebilecektir.</w:t>
      </w:r>
    </w:p>
    <w:p w:rsidR="00EC5CB2" w:rsidRPr="005B5B4E" w:rsidRDefault="00EC5CB2">
      <w:pPr>
        <w:rPr>
          <w:sz w:val="20"/>
          <w:lang w:val="tr-TR"/>
        </w:rPr>
      </w:pPr>
    </w:p>
    <w:sectPr w:rsidR="00EC5CB2" w:rsidRPr="005B5B4E" w:rsidSect="00E63BF1">
      <w:pgSz w:w="12240" w:h="15840"/>
      <w:pgMar w:top="709" w:right="720" w:bottom="284"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785"/>
    <w:rsid w:val="001B3981"/>
    <w:rsid w:val="002E4316"/>
    <w:rsid w:val="003D73F5"/>
    <w:rsid w:val="005A770C"/>
    <w:rsid w:val="005B5B4E"/>
    <w:rsid w:val="00615785"/>
    <w:rsid w:val="006D7C9A"/>
    <w:rsid w:val="008057C7"/>
    <w:rsid w:val="0092308A"/>
    <w:rsid w:val="00932AE5"/>
    <w:rsid w:val="00D113A5"/>
    <w:rsid w:val="00D156AF"/>
    <w:rsid w:val="00EC5CB2"/>
    <w:rsid w:val="00FC6D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A38E4"/>
  <w15:chartTrackingRefBased/>
  <w15:docId w15:val="{38A7A0C1-1AC0-4EA9-86EF-C43FFAB88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578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5774669">
      <w:bodyDiv w:val="1"/>
      <w:marLeft w:val="0"/>
      <w:marRight w:val="0"/>
      <w:marTop w:val="0"/>
      <w:marBottom w:val="0"/>
      <w:divBdr>
        <w:top w:val="none" w:sz="0" w:space="0" w:color="auto"/>
        <w:left w:val="none" w:sz="0" w:space="0" w:color="auto"/>
        <w:bottom w:val="none" w:sz="0" w:space="0" w:color="auto"/>
        <w:right w:val="none" w:sz="0" w:space="0" w:color="auto"/>
      </w:divBdr>
    </w:div>
    <w:div w:id="510068323">
      <w:bodyDiv w:val="1"/>
      <w:marLeft w:val="0"/>
      <w:marRight w:val="0"/>
      <w:marTop w:val="0"/>
      <w:marBottom w:val="0"/>
      <w:divBdr>
        <w:top w:val="none" w:sz="0" w:space="0" w:color="auto"/>
        <w:left w:val="none" w:sz="0" w:space="0" w:color="auto"/>
        <w:bottom w:val="none" w:sz="0" w:space="0" w:color="auto"/>
        <w:right w:val="none" w:sz="0" w:space="0" w:color="auto"/>
      </w:divBdr>
    </w:div>
    <w:div w:id="555550966">
      <w:bodyDiv w:val="1"/>
      <w:marLeft w:val="0"/>
      <w:marRight w:val="0"/>
      <w:marTop w:val="0"/>
      <w:marBottom w:val="0"/>
      <w:divBdr>
        <w:top w:val="none" w:sz="0" w:space="0" w:color="auto"/>
        <w:left w:val="none" w:sz="0" w:space="0" w:color="auto"/>
        <w:bottom w:val="none" w:sz="0" w:space="0" w:color="auto"/>
        <w:right w:val="none" w:sz="0" w:space="0" w:color="auto"/>
      </w:divBdr>
    </w:div>
    <w:div w:id="2082091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876</Words>
  <Characters>4999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Ersin Kayalı [Oyak Yatırım Muh. &amp; Opr.]</dc:creator>
  <cp:keywords/>
  <dc:description/>
  <cp:lastModifiedBy>Pınar Taştutan-DenizYatırım-Kurumsal Finansman Yönetmeni</cp:lastModifiedBy>
  <cp:revision>2</cp:revision>
  <dcterms:created xsi:type="dcterms:W3CDTF">2021-04-17T14:42:00Z</dcterms:created>
  <dcterms:modified xsi:type="dcterms:W3CDTF">2021-04-17T14:42:00Z</dcterms:modified>
</cp:coreProperties>
</file>